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13 277 vom 5. Juli 2013</w:t>
      </w:r>
    </w:p>
    <w:p>
      <w:r>
        <w:t>VS Kantonsgericht, 2013-07-05, FR</w:t>
      </w:r>
    </w:p>
    <w:p>
      <w:r>
        <w:rPr>
          <w:b/>
        </w:rPr>
        <w:t xml:space="preserve">Quelle: </w:t>
      </w:r>
      <w:r>
        <w:t>https://mcp.opencaselaw.ch/entscheid/vs_gerichte_A1 13 277</w:t>
      </w:r>
    </w:p>
    <w:p>
      <w:r>
        <w:t>FR: VS_GERICHTE A1 13 277 du 5 juillet 2013</w:t>
      </w:r>
    </w:p>
    <w:p>
      <w:r>
        <w:t>IT: VS_GERICHTE A1 13 277 del 5 luglio 2013</w:t>
      </w:r>
    </w:p>
    <w:p>
      <w:pPr>
        <w:pStyle w:val="Heading2"/>
      </w:pPr>
      <w:r>
        <w:t>Regeste</w:t>
      </w:r>
    </w:p>
    <w:p>
      <w:r>
        <w:t>A1 13 277 ARRÊT DU 5 JUILLET 2013 Tribunal cantonal du Valais Cour de droit public Composition : Jean-Pierre Zufferey, président ; Thomas Brunner et Jean-Michel Maillard, juge suppléant, en la cause X_________, recourant, représenté par Maître A_________ contre SERVICE DE LA POPULATION ET DES MIGRATIONS (SPM), autorité attaquée (renvoi de Suisse) recours de droit administratif contre la décision du 22 mai 2013</w:t>
      </w:r>
    </w:p>
    <w:p>
      <w:pPr>
        <w:pStyle w:val="Heading2"/>
      </w:pPr>
      <w:r>
        <w:t>Erwägungen</w:t>
      </w:r>
    </w:p>
    <w:p>
      <w:r>
        <w:rPr>
          <w:b/>
        </w:rPr>
        <w:t>E. 4</w:t>
      </w:r>
    </w:p>
    <w:p>
      <w:r>
        <w:t>novembre 1950 de sauvegarde des droits de l'homme et des libertés fondamentales (CEDH ; RS 0.101 ; cf. p. ex. ATF 138 I 6 consid. 4 p. 22 ss ; 137 I 284 consid. 2.1 p. 287 s. et les références) et la lettre même de cette norme montrent que le droit fon- damental que celle-ci protège n'est pas absolu et que des ingérences de l'Etat sont possibles ; que l’expulsion de Suisse prononcée à l’encontre du recourant en 2006 à la suite de nombreuses infractions constitue manifestement une mesure entrant dans le champ d’application de l’article 8 par. 2 CEDH ; qu’au demeurant, les relations familiales protégées par cette norme conventionnelle sont avant tout les rapports entre époux ainsi qu'entre parents et enfants mineurs vivant ensemble (ATF 127 II 60 consid. 1d/aa p. 65), les fiancés ou les concubins n’étant en particulier pas habilités à invoquer cette disposition, à moins que le couple n'entretienne depuis longtemps des relations étroites et effectivement vécues et qu'il existe des indices concrets d'un mariage sérieusement voulu et imminent (cf. arrêt du Tribunal fédéral 2C_207/2012 du 31 mai 2012, consid. 3.3 et les arrêts cités) ; que X_________ – qui n’a pas entretenu de telles relations avec sa fiancée et leur enfant sur une longue durée, n’a pas fait état de projets de mariage et n’a pas reconnu officiellement l’enfant – ne remplit pas les critères posés par la jurisprudence pour se prévaloir utilement de la protection qu’offre l’article 8 CEDH ; que, par analogie avec les prévisions de l’article 83 al. 1 LEtr, la présente cause ne réunit pas les conditions qui permettent d’échapper au renvoi, le recourant n’exposant aucune situation qui rendrait impossible l’exécution de cette décision, alors que celle-ci est toujours licite eu égard aux prononcés en force à ce propos, et qu’elle demeure toujours exigible, X_________ évoquant son intérêt à demeurer en Suisse mais aucune circonstance pertinente liée au pays d’origine et de destination actuelle (art. 83 al. 4 LEtr) ; que, comme le relève la réponse du SPM, les questions familiales évoquées comme motif d’annulation du renvoi n’ont pas d’effet sur cette mesure, mais présentent un intérêt dans le cadre d’une demande d’autorisation d’entrée en Suisse, demande que X_________ était libre de formuler dès 2011 depuis C_________ ou de réitérer depuis B_________, comme le lui suggère l’autorité attaquée sans contestation de l’intéressé ;</w:t>
      </w:r>
    </w:p>
    <w:p>
      <w:r>
        <w:t>- 5 -</w:t>
      </w:r>
    </w:p>
    <w:p>
      <w:r>
        <w:t>que, pour statuer sur les points déterminant le sort d’un renvoi, il n’est nul besoin d’entendre personnellement le recourant ou la mère de son enfant, ces derniers insis- tant sur des motifs d’octroi d’autorisation, mais nullement sur les éléments pertinents pour apprécier la légalité d’une décision de renvoi : ces auditions sont ainsi refusées (art. 80 al. 1 let. d et 17 al. 2 LPJA) ; que, par suite, la décision attaquée ne révèle aucun abus du pouvoir d’appréciation que les articles 64 et 64d LEtr reconnaissent au SPM, de sorte qu’elle doit être confir- mée et le recours rejeté (art. 80 al. 1 let. d et 60 al. 1 LPJA) ; qu’exceptionnellement, il convient de remettre les frais que le sort du recours comman- derait de faire supporter au recourant (art. 89 al. 1 et 2 LPJA) ; que, pour cette raison, X_________ n’a pas droit à des dépens (art. 91 al. 1 LPJA) ; que son impécuniosité, la complexité de la situation juridique entre deux voies de droit et la détention en vue de renvoi ont nécessité l’assistance d’un conseil juridique de sorte qu’il convient, à la suite de la demande d’assistance judiciaire du 3 juin 2013, de désigner Me A________ comme conseil juridique commis d’office et de lui allouer, pour ses interventions depuis le 29 mai 2013, une indemnité de 600 fr. à la charge du fisc cantonal (art. 2 al. 1 et 2 et 3 LAJ ; art 3, 30 et 39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